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D" w:rsidRDefault="00FF310D" w:rsidP="00FF6841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FF310D" w:rsidRDefault="00FF310D" w:rsidP="00FF6841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FF6841" w:rsidRDefault="00FF6841" w:rsidP="00FF6841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561F7C">
        <w:rPr>
          <w:b/>
          <w:bCs/>
          <w:sz w:val="24"/>
          <w:szCs w:val="24"/>
          <w:lang w:eastAsia="en-US"/>
        </w:rPr>
        <w:t>УТВЕРЖДЕН</w:t>
      </w:r>
    </w:p>
    <w:p w:rsidR="00CB3FF1" w:rsidRPr="00CB3FF1" w:rsidRDefault="00CB3FF1" w:rsidP="00CB3FF1">
      <w:pPr>
        <w:ind w:left="6081" w:hanging="417"/>
        <w:jc w:val="right"/>
        <w:rPr>
          <w:b/>
          <w:bCs/>
          <w:sz w:val="24"/>
          <w:szCs w:val="24"/>
          <w:lang w:eastAsia="en-US"/>
        </w:rPr>
      </w:pPr>
      <w:r w:rsidRPr="00CB3FF1">
        <w:rPr>
          <w:b/>
          <w:bCs/>
          <w:sz w:val="24"/>
          <w:szCs w:val="24"/>
          <w:lang w:eastAsia="en-US"/>
        </w:rPr>
        <w:t xml:space="preserve">Протоколом </w:t>
      </w:r>
      <w:proofErr w:type="gramStart"/>
      <w:r w:rsidRPr="00CB3FF1">
        <w:rPr>
          <w:b/>
          <w:bCs/>
          <w:sz w:val="24"/>
          <w:szCs w:val="24"/>
          <w:lang w:eastAsia="en-US"/>
        </w:rPr>
        <w:t>внеочередного</w:t>
      </w:r>
      <w:proofErr w:type="gramEnd"/>
    </w:p>
    <w:p w:rsidR="00CB3FF1" w:rsidRPr="00CB3FF1" w:rsidRDefault="00CB3FF1" w:rsidP="00CB3FF1">
      <w:pPr>
        <w:ind w:left="6081" w:hanging="417"/>
        <w:jc w:val="right"/>
        <w:rPr>
          <w:b/>
          <w:bCs/>
          <w:sz w:val="24"/>
          <w:szCs w:val="24"/>
          <w:lang w:eastAsia="en-US"/>
        </w:rPr>
      </w:pPr>
      <w:r w:rsidRPr="00CB3FF1">
        <w:rPr>
          <w:b/>
          <w:bCs/>
          <w:sz w:val="24"/>
          <w:szCs w:val="24"/>
          <w:lang w:eastAsia="en-US"/>
        </w:rPr>
        <w:t>общего собрания участников</w:t>
      </w:r>
    </w:p>
    <w:p w:rsidR="00CB3FF1" w:rsidRPr="00CB3FF1" w:rsidRDefault="00CB3FF1" w:rsidP="00CB3FF1">
      <w:pPr>
        <w:ind w:left="6081" w:hanging="417"/>
        <w:jc w:val="right"/>
        <w:rPr>
          <w:b/>
          <w:bCs/>
          <w:sz w:val="24"/>
          <w:szCs w:val="24"/>
          <w:lang w:eastAsia="en-US"/>
        </w:rPr>
      </w:pPr>
      <w:r w:rsidRPr="00CB3FF1">
        <w:rPr>
          <w:b/>
          <w:bCs/>
          <w:sz w:val="24"/>
          <w:szCs w:val="24"/>
          <w:lang w:eastAsia="en-US"/>
        </w:rPr>
        <w:t>ООО «ИК «ФИАНИТ»</w:t>
      </w:r>
    </w:p>
    <w:p w:rsidR="00CB3FF1" w:rsidRPr="00A87E73" w:rsidRDefault="00973A11" w:rsidP="00CB3FF1">
      <w:pPr>
        <w:ind w:left="6081" w:hanging="417"/>
        <w:jc w:val="right"/>
        <w:rPr>
          <w:b/>
          <w:bCs/>
          <w:sz w:val="24"/>
          <w:szCs w:val="24"/>
          <w:lang w:eastAsia="en-US"/>
        </w:rPr>
      </w:pPr>
      <w:r w:rsidRPr="00A87E73">
        <w:rPr>
          <w:b/>
          <w:bCs/>
          <w:sz w:val="24"/>
          <w:szCs w:val="24"/>
          <w:lang w:eastAsia="en-US"/>
        </w:rPr>
        <w:t>№ 2015</w:t>
      </w:r>
      <w:r w:rsidR="00CB3FF1" w:rsidRPr="00A87E73">
        <w:rPr>
          <w:b/>
          <w:bCs/>
          <w:sz w:val="24"/>
          <w:szCs w:val="24"/>
          <w:lang w:eastAsia="en-US"/>
        </w:rPr>
        <w:t>/</w:t>
      </w:r>
      <w:r w:rsidR="00A87E73" w:rsidRPr="00A87E73">
        <w:rPr>
          <w:b/>
          <w:bCs/>
          <w:sz w:val="24"/>
          <w:szCs w:val="24"/>
          <w:lang w:eastAsia="en-US"/>
        </w:rPr>
        <w:t>0601</w:t>
      </w:r>
      <w:r w:rsidR="00CB3FF1" w:rsidRPr="00A87E73">
        <w:rPr>
          <w:b/>
          <w:bCs/>
          <w:sz w:val="24"/>
          <w:szCs w:val="24"/>
          <w:lang w:eastAsia="en-US"/>
        </w:rPr>
        <w:t xml:space="preserve">-1 от </w:t>
      </w:r>
      <w:r w:rsidR="00A87E73" w:rsidRPr="00A87E73">
        <w:rPr>
          <w:b/>
          <w:bCs/>
          <w:sz w:val="24"/>
          <w:szCs w:val="24"/>
          <w:lang w:eastAsia="en-US"/>
        </w:rPr>
        <w:t>0</w:t>
      </w:r>
      <w:r w:rsidR="00CB3FF1" w:rsidRPr="00A87E73">
        <w:rPr>
          <w:b/>
          <w:bCs/>
          <w:sz w:val="24"/>
          <w:szCs w:val="24"/>
          <w:lang w:eastAsia="en-US"/>
        </w:rPr>
        <w:t>1.06.201</w:t>
      </w:r>
      <w:r w:rsidR="00A87E73" w:rsidRPr="00A87E73">
        <w:rPr>
          <w:b/>
          <w:bCs/>
          <w:sz w:val="24"/>
          <w:szCs w:val="24"/>
          <w:lang w:eastAsia="en-US"/>
        </w:rPr>
        <w:t>5</w:t>
      </w:r>
      <w:r w:rsidR="00CB3FF1" w:rsidRPr="00A87E73">
        <w:rPr>
          <w:b/>
          <w:bCs/>
          <w:sz w:val="24"/>
          <w:szCs w:val="24"/>
          <w:lang w:eastAsia="en-US"/>
        </w:rPr>
        <w:t>г.</w:t>
      </w:r>
    </w:p>
    <w:p w:rsidR="007B5370" w:rsidRDefault="007B5370" w:rsidP="00B57A3C">
      <w:pPr>
        <w:jc w:val="center"/>
        <w:rPr>
          <w:b/>
          <w:bCs/>
          <w:iCs/>
          <w:sz w:val="24"/>
          <w:szCs w:val="24"/>
        </w:rPr>
      </w:pPr>
    </w:p>
    <w:p w:rsidR="007B5370" w:rsidRDefault="007B5370" w:rsidP="00B57A3C">
      <w:pPr>
        <w:jc w:val="center"/>
        <w:rPr>
          <w:b/>
          <w:bCs/>
          <w:iCs/>
          <w:sz w:val="24"/>
          <w:szCs w:val="24"/>
        </w:rPr>
      </w:pPr>
    </w:p>
    <w:p w:rsidR="007B5370" w:rsidRDefault="007B5370" w:rsidP="00B57A3C">
      <w:pPr>
        <w:jc w:val="center"/>
        <w:rPr>
          <w:b/>
          <w:bCs/>
          <w:iCs/>
          <w:sz w:val="24"/>
          <w:szCs w:val="24"/>
        </w:rPr>
      </w:pPr>
    </w:p>
    <w:p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:rsidR="00D21F07" w:rsidRDefault="00D21F07" w:rsidP="00B57A3C">
      <w:pPr>
        <w:jc w:val="center"/>
        <w:rPr>
          <w:b/>
          <w:bCs/>
          <w:iCs/>
          <w:sz w:val="24"/>
          <w:szCs w:val="24"/>
        </w:rPr>
      </w:pPr>
    </w:p>
    <w:p w:rsidR="00D21F07" w:rsidRDefault="00D21F07" w:rsidP="00B57A3C">
      <w:pPr>
        <w:jc w:val="center"/>
        <w:rPr>
          <w:b/>
          <w:bCs/>
          <w:iCs/>
          <w:sz w:val="24"/>
          <w:szCs w:val="24"/>
        </w:rPr>
      </w:pPr>
    </w:p>
    <w:p w:rsidR="00D21F07" w:rsidRDefault="00D21F07" w:rsidP="00B57A3C">
      <w:pPr>
        <w:jc w:val="center"/>
        <w:rPr>
          <w:b/>
          <w:bCs/>
          <w:iCs/>
          <w:sz w:val="24"/>
          <w:szCs w:val="24"/>
        </w:rPr>
      </w:pPr>
    </w:p>
    <w:p w:rsidR="00D21F07" w:rsidRDefault="00D21F07" w:rsidP="00B57A3C">
      <w:pPr>
        <w:jc w:val="center"/>
        <w:rPr>
          <w:b/>
          <w:bCs/>
          <w:iCs/>
          <w:sz w:val="24"/>
          <w:szCs w:val="24"/>
        </w:rPr>
      </w:pPr>
    </w:p>
    <w:p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:rsidR="00D21F07" w:rsidRPr="00FA6FBA" w:rsidRDefault="00D21F07" w:rsidP="00D21F07">
      <w:pPr>
        <w:spacing w:before="20" w:after="20"/>
        <w:jc w:val="center"/>
        <w:rPr>
          <w:b/>
          <w:bCs/>
          <w:sz w:val="32"/>
          <w:szCs w:val="32"/>
        </w:rPr>
      </w:pPr>
      <w:r w:rsidRPr="00FA6FBA">
        <w:rPr>
          <w:b/>
          <w:bCs/>
          <w:sz w:val="32"/>
          <w:szCs w:val="32"/>
        </w:rPr>
        <w:t>Политика</w:t>
      </w:r>
    </w:p>
    <w:p w:rsidR="00D21F07" w:rsidRDefault="00D21F07" w:rsidP="00D21F07">
      <w:pPr>
        <w:jc w:val="center"/>
        <w:rPr>
          <w:b/>
          <w:bCs/>
          <w:sz w:val="32"/>
          <w:szCs w:val="32"/>
        </w:rPr>
      </w:pPr>
      <w:r w:rsidRPr="00D21F07">
        <w:rPr>
          <w:b/>
          <w:bCs/>
          <w:sz w:val="32"/>
          <w:szCs w:val="32"/>
        </w:rPr>
        <w:t>ООО «ИК «ФИАНИТ»</w:t>
      </w:r>
    </w:p>
    <w:p w:rsidR="00D21F07" w:rsidRPr="00FA6FBA" w:rsidRDefault="00D21F07" w:rsidP="00D21F07">
      <w:pPr>
        <w:spacing w:before="20" w:after="20"/>
        <w:jc w:val="center"/>
        <w:rPr>
          <w:b/>
          <w:bCs/>
          <w:sz w:val="32"/>
          <w:szCs w:val="32"/>
        </w:rPr>
      </w:pPr>
      <w:r w:rsidRPr="00FA6FBA">
        <w:rPr>
          <w:b/>
          <w:bCs/>
          <w:sz w:val="32"/>
          <w:szCs w:val="32"/>
        </w:rPr>
        <w:t>в отношении обработки персональных данных</w:t>
      </w:r>
    </w:p>
    <w:p w:rsidR="00D21F07" w:rsidRDefault="00D21F07" w:rsidP="00D21F07">
      <w:pPr>
        <w:jc w:val="center"/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jc w:val="center"/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jc w:val="center"/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jc w:val="center"/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A87E73" w:rsidRDefault="00A87E73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Default="00D21F07" w:rsidP="00D21F07">
      <w:pPr>
        <w:rPr>
          <w:sz w:val="24"/>
          <w:szCs w:val="24"/>
          <w:highlight w:val="yellow"/>
        </w:rPr>
      </w:pPr>
    </w:p>
    <w:p w:rsidR="00D21F07" w:rsidRPr="00966890" w:rsidRDefault="00D21F07" w:rsidP="00D21F07">
      <w:pPr>
        <w:rPr>
          <w:sz w:val="24"/>
          <w:szCs w:val="24"/>
          <w:highlight w:val="yellow"/>
        </w:rPr>
      </w:pPr>
    </w:p>
    <w:p w:rsidR="00D21F07" w:rsidRPr="00487169" w:rsidRDefault="00D21F07" w:rsidP="00D21F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66890">
        <w:rPr>
          <w:sz w:val="24"/>
          <w:szCs w:val="24"/>
        </w:rPr>
        <w:t>Москва, 201</w:t>
      </w:r>
      <w:r w:rsidR="00973A11">
        <w:rPr>
          <w:sz w:val="24"/>
          <w:szCs w:val="24"/>
        </w:rPr>
        <w:t>5</w:t>
      </w:r>
      <w:r w:rsidRPr="00966890">
        <w:rPr>
          <w:sz w:val="24"/>
          <w:szCs w:val="24"/>
        </w:rPr>
        <w:t xml:space="preserve"> год</w:t>
      </w:r>
    </w:p>
    <w:p w:rsidR="00D21F07" w:rsidRPr="00CB486F" w:rsidRDefault="00D21F07" w:rsidP="00D21F07">
      <w:pPr>
        <w:tabs>
          <w:tab w:val="left" w:pos="6660"/>
        </w:tabs>
        <w:jc w:val="center"/>
        <w:rPr>
          <w:b/>
          <w:bCs/>
          <w:sz w:val="24"/>
          <w:szCs w:val="24"/>
        </w:rPr>
      </w:pPr>
      <w:r w:rsidRPr="00CB486F">
        <w:rPr>
          <w:b/>
          <w:bCs/>
          <w:sz w:val="24"/>
          <w:szCs w:val="24"/>
        </w:rPr>
        <w:lastRenderedPageBreak/>
        <w:t>1. ОБЩИЕ ПОЛОЖЕНИЯ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>1.1. </w:t>
      </w:r>
      <w:r w:rsidRPr="00D21F07">
        <w:rPr>
          <w:sz w:val="24"/>
          <w:szCs w:val="24"/>
        </w:rPr>
        <w:t>ООО «ИК «ФИАНИТ»</w:t>
      </w:r>
      <w:r w:rsidRPr="00CB486F">
        <w:rPr>
          <w:sz w:val="24"/>
          <w:szCs w:val="24"/>
        </w:rPr>
        <w:t xml:space="preserve"> (далее – Общество) осуществляет свою деятельность на основании лицензи</w:t>
      </w:r>
      <w:r>
        <w:rPr>
          <w:sz w:val="24"/>
          <w:szCs w:val="24"/>
        </w:rPr>
        <w:t>й</w:t>
      </w:r>
      <w:r w:rsidRPr="00CB486F">
        <w:rPr>
          <w:sz w:val="24"/>
          <w:szCs w:val="24"/>
        </w:rPr>
        <w:t xml:space="preserve"> профессионального участника рынка ценных бумаг</w:t>
      </w:r>
      <w:r>
        <w:rPr>
          <w:sz w:val="24"/>
          <w:szCs w:val="24"/>
        </w:rPr>
        <w:t xml:space="preserve"> на осуществление </w:t>
      </w:r>
      <w:r w:rsidRPr="00D21F07">
        <w:rPr>
          <w:sz w:val="24"/>
          <w:szCs w:val="24"/>
        </w:rPr>
        <w:t>брокерской, дилерской</w:t>
      </w:r>
      <w:r w:rsidR="00971BFD">
        <w:rPr>
          <w:sz w:val="24"/>
          <w:szCs w:val="24"/>
        </w:rPr>
        <w:t xml:space="preserve"> </w:t>
      </w:r>
      <w:r w:rsidRPr="00D21F07">
        <w:rPr>
          <w:sz w:val="24"/>
          <w:szCs w:val="24"/>
        </w:rPr>
        <w:t>и депозитарной деятельности, а также деятельности п</w:t>
      </w:r>
      <w:r w:rsidR="00971BFD">
        <w:rPr>
          <w:sz w:val="24"/>
          <w:szCs w:val="24"/>
        </w:rPr>
        <w:t>о управлению ценными бумагами</w:t>
      </w:r>
      <w:r w:rsidRPr="00D21F07">
        <w:rPr>
          <w:sz w:val="24"/>
          <w:szCs w:val="24"/>
        </w:rPr>
        <w:t xml:space="preserve"> </w:t>
      </w:r>
      <w:r w:rsidRPr="00CB486F">
        <w:rPr>
          <w:sz w:val="24"/>
          <w:szCs w:val="24"/>
        </w:rPr>
        <w:t>(далее - лицензии).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>1.2. Общество при осуществлении своей деятельности уделяет приоритетное внимание вопросам обеспечения информационной безопасности. В Обществ</w:t>
      </w:r>
      <w:r>
        <w:rPr>
          <w:sz w:val="24"/>
          <w:szCs w:val="24"/>
        </w:rPr>
        <w:t>е</w:t>
      </w:r>
      <w:r w:rsidRPr="00CB486F">
        <w:rPr>
          <w:sz w:val="24"/>
          <w:szCs w:val="24"/>
        </w:rPr>
        <w:t xml:space="preserve"> принят комплекс правовых, организационных и технических мер, направленных на защиту информации о работниках</w:t>
      </w:r>
      <w:r>
        <w:rPr>
          <w:sz w:val="24"/>
          <w:szCs w:val="24"/>
        </w:rPr>
        <w:t>,</w:t>
      </w:r>
      <w:r w:rsidRPr="00CB486F">
        <w:rPr>
          <w:sz w:val="24"/>
          <w:szCs w:val="24"/>
        </w:rPr>
        <w:t xml:space="preserve"> клиентах, контрагентах и других субъектов персональных данных.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 xml:space="preserve">1.3. Настоящая политика </w:t>
      </w:r>
      <w:r>
        <w:rPr>
          <w:sz w:val="24"/>
          <w:szCs w:val="24"/>
        </w:rPr>
        <w:t>Общества</w:t>
      </w:r>
      <w:r w:rsidRPr="00CB486F">
        <w:rPr>
          <w:sz w:val="24"/>
          <w:szCs w:val="24"/>
        </w:rPr>
        <w:t xml:space="preserve"> в отношении обработки персональных данных (далее – </w:t>
      </w:r>
      <w:r>
        <w:rPr>
          <w:sz w:val="24"/>
          <w:szCs w:val="24"/>
        </w:rPr>
        <w:t>П</w:t>
      </w:r>
      <w:r w:rsidRPr="00CB486F">
        <w:rPr>
          <w:sz w:val="24"/>
          <w:szCs w:val="24"/>
        </w:rPr>
        <w:t xml:space="preserve">олитика) предоставляет информацию об основных принципах обработки персональных данных (далее - </w:t>
      </w:r>
      <w:proofErr w:type="spellStart"/>
      <w:r w:rsidRPr="00CB486F">
        <w:rPr>
          <w:sz w:val="24"/>
          <w:szCs w:val="24"/>
        </w:rPr>
        <w:t>ПДн</w:t>
      </w:r>
      <w:proofErr w:type="spellEnd"/>
      <w:r w:rsidRPr="00CB486F">
        <w:rPr>
          <w:sz w:val="24"/>
          <w:szCs w:val="24"/>
        </w:rPr>
        <w:t xml:space="preserve">) и реализуемых требованиях к защите </w:t>
      </w:r>
      <w:proofErr w:type="spellStart"/>
      <w:r w:rsidRPr="00CB486F">
        <w:rPr>
          <w:sz w:val="24"/>
          <w:szCs w:val="24"/>
        </w:rPr>
        <w:t>ПДн</w:t>
      </w:r>
      <w:proofErr w:type="spellEnd"/>
      <w:r w:rsidRPr="00CB486F">
        <w:rPr>
          <w:sz w:val="24"/>
          <w:szCs w:val="24"/>
        </w:rPr>
        <w:t>. Политика разработана в соответствии с требованиями федерального закона от 27.07.2006 г. № 152-ФЗ «О персональных данных» (далее – ФЗ-152).</w:t>
      </w:r>
    </w:p>
    <w:p w:rsidR="00D21F07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 xml:space="preserve">1.3. Настоящая </w:t>
      </w:r>
      <w:r>
        <w:rPr>
          <w:sz w:val="24"/>
          <w:szCs w:val="24"/>
        </w:rPr>
        <w:t>П</w:t>
      </w:r>
      <w:r w:rsidRPr="00CB486F">
        <w:rPr>
          <w:sz w:val="24"/>
          <w:szCs w:val="24"/>
        </w:rPr>
        <w:t>олитика является общедоступным документом и подлежит к неограниченному распространению.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21F07" w:rsidRPr="00CB486F" w:rsidRDefault="00D21F07" w:rsidP="00D21F07">
      <w:pPr>
        <w:jc w:val="center"/>
        <w:outlineLvl w:val="2"/>
        <w:rPr>
          <w:b/>
          <w:bCs/>
          <w:sz w:val="24"/>
          <w:szCs w:val="24"/>
        </w:rPr>
      </w:pPr>
      <w:r w:rsidRPr="00CB486F">
        <w:rPr>
          <w:b/>
          <w:bCs/>
          <w:sz w:val="24"/>
          <w:szCs w:val="24"/>
        </w:rPr>
        <w:t>2. ПРИНЦИПЫ ОБРАБОТКИ ПЕРСОНАЛЬНЫХ ДАННЫХ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 xml:space="preserve">2.1. Обработка персональных данных в </w:t>
      </w:r>
      <w:r>
        <w:rPr>
          <w:sz w:val="24"/>
          <w:szCs w:val="24"/>
        </w:rPr>
        <w:t>Обществе</w:t>
      </w:r>
      <w:r w:rsidRPr="00CB486F">
        <w:rPr>
          <w:sz w:val="24"/>
          <w:szCs w:val="24"/>
        </w:rPr>
        <w:t xml:space="preserve"> осуществляется на основе следующих принципов: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Обработка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должна осуществляться на законной и справедливой основе.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Обработка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, несовместимая с целями сбора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>.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Не допускается объединение баз данных, содержащих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>, обработка которых осуществляется в целях, несовместимых между собой.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Обработке подлежат только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>, которые отвечают целям их обработки.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Содержание и объем </w:t>
      </w:r>
      <w:proofErr w:type="gramStart"/>
      <w:r w:rsidRPr="00CB486F">
        <w:rPr>
          <w:bCs/>
          <w:sz w:val="24"/>
          <w:szCs w:val="24"/>
        </w:rPr>
        <w:t>обрабатываемых</w:t>
      </w:r>
      <w:proofErr w:type="gramEnd"/>
      <w:r w:rsidRPr="00CB486F">
        <w:rPr>
          <w:bCs/>
          <w:sz w:val="24"/>
          <w:szCs w:val="24"/>
        </w:rPr>
        <w:t xml:space="preserve">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должны соответствовать заявленным целям обработки. Обрабатываемые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не должны быть избыточными по отношению к заявленным целям их обработки.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При обработке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должны быть обеспечены точность персональных данных, их достаточность, а в необходимых случаях и актуальность по отношению к целям обработки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. </w:t>
      </w:r>
    </w:p>
    <w:p w:rsidR="00D21F07" w:rsidRPr="00CB486F" w:rsidRDefault="00D21F07" w:rsidP="00D21F0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4"/>
          <w:szCs w:val="24"/>
        </w:rPr>
      </w:pPr>
      <w:r w:rsidRPr="00CB486F">
        <w:rPr>
          <w:bCs/>
          <w:sz w:val="24"/>
          <w:szCs w:val="24"/>
        </w:rPr>
        <w:t xml:space="preserve">Хранение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, не дольше, чем этого требуют цели обработки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, если срок хранения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. Обрабатываемые </w:t>
      </w:r>
      <w:proofErr w:type="spellStart"/>
      <w:r w:rsidRPr="00CB486F">
        <w:rPr>
          <w:bCs/>
          <w:sz w:val="24"/>
          <w:szCs w:val="24"/>
        </w:rPr>
        <w:t>ПДн</w:t>
      </w:r>
      <w:proofErr w:type="spellEnd"/>
      <w:r w:rsidRPr="00CB486F">
        <w:rPr>
          <w:bCs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ФЗ-152.</w:t>
      </w:r>
    </w:p>
    <w:p w:rsidR="00D21F07" w:rsidRDefault="00D21F07" w:rsidP="00D21F07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:rsidR="007F271D" w:rsidRDefault="007F271D" w:rsidP="00D21F07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:rsidR="007F271D" w:rsidRDefault="007F271D" w:rsidP="00D21F07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:rsidR="00D21F07" w:rsidRPr="00CB486F" w:rsidRDefault="00D21F07" w:rsidP="00D21F07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B486F">
        <w:rPr>
          <w:b/>
          <w:bCs/>
          <w:sz w:val="24"/>
          <w:szCs w:val="24"/>
        </w:rPr>
        <w:lastRenderedPageBreak/>
        <w:t>3. ЦЕЛИ ОБРАБОТКИ ПЕРСОНАЛЬНЫХ ДАННЫХ</w:t>
      </w:r>
    </w:p>
    <w:p w:rsidR="00D21F07" w:rsidRPr="00CB486F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CB486F">
        <w:rPr>
          <w:sz w:val="24"/>
          <w:szCs w:val="24"/>
        </w:rPr>
        <w:t>3.1.</w:t>
      </w:r>
      <w:r w:rsidRPr="00F6730C">
        <w:rPr>
          <w:sz w:val="24"/>
          <w:szCs w:val="24"/>
        </w:rPr>
        <w:t xml:space="preserve"> </w:t>
      </w:r>
      <w:r w:rsidRPr="00CB486F">
        <w:rPr>
          <w:sz w:val="24"/>
          <w:szCs w:val="24"/>
        </w:rPr>
        <w:t xml:space="preserve">Общество осуществляет обработку </w:t>
      </w:r>
      <w:proofErr w:type="spellStart"/>
      <w:r w:rsidRPr="00CB486F">
        <w:rPr>
          <w:sz w:val="24"/>
          <w:szCs w:val="24"/>
        </w:rPr>
        <w:t>ПДн</w:t>
      </w:r>
      <w:proofErr w:type="spellEnd"/>
      <w:r w:rsidRPr="00CB486F">
        <w:rPr>
          <w:sz w:val="24"/>
          <w:szCs w:val="24"/>
        </w:rPr>
        <w:t xml:space="preserve"> для достижения следующих целей: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>рассмотрение возможности установления договорных отношений с субъектом персональных данных на финансовом рынке путем заключения договора, с целью дальнейшего предоставления услуг в соответствии с лицензиями;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>исполнение договора, одной из сторон которого является субъект персональных данных, и иных обязательств, вытекающих из договора;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>предоставление отчетности государственным органам в соответствии с требованиями действующего законодательства Российской Федерации;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>проведение мероприятий по урегулированию заявлений, претензий, сообщений субъектов персональных данных;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 xml:space="preserve">предоставление сведений уведомительного характера, в том числе, о новых продуктах, услугах, проводимых акциях, мероприятиях, поздравлений </w:t>
      </w:r>
      <w:proofErr w:type="gramStart"/>
      <w:r w:rsidRPr="00CB486F">
        <w:rPr>
          <w:rFonts w:ascii="Times New Roman" w:hAnsi="Times New Roman"/>
          <w:sz w:val="24"/>
          <w:szCs w:val="24"/>
        </w:rPr>
        <w:t>в</w:t>
      </w:r>
      <w:proofErr w:type="gramEnd"/>
      <w:r w:rsidRPr="00CB486F">
        <w:rPr>
          <w:rFonts w:ascii="Times New Roman" w:hAnsi="Times New Roman"/>
          <w:sz w:val="24"/>
          <w:szCs w:val="24"/>
        </w:rPr>
        <w:t xml:space="preserve"> праздниками;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>продвижение продуктов и услуг на рынке ценных бумаг путем осуществления прямых контактов с клиентами.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 xml:space="preserve">формирование клиентской истории </w:t>
      </w:r>
      <w:r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CB486F">
        <w:rPr>
          <w:rFonts w:ascii="Times New Roman" w:hAnsi="Times New Roman"/>
          <w:sz w:val="24"/>
          <w:szCs w:val="24"/>
          <w:lang w:val="en-US"/>
        </w:rPr>
        <w:t>;</w:t>
      </w:r>
    </w:p>
    <w:p w:rsidR="00D21F07" w:rsidRPr="00CB486F" w:rsidRDefault="00D21F07" w:rsidP="00D21F07">
      <w:pPr>
        <w:pStyle w:val="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486F">
        <w:rPr>
          <w:rFonts w:ascii="Times New Roman" w:hAnsi="Times New Roman"/>
          <w:sz w:val="24"/>
          <w:szCs w:val="24"/>
        </w:rPr>
        <w:t xml:space="preserve">обработка персональных данных субъекта в соответствие с законодательными и нормативными актами, регулирующими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CB486F">
        <w:rPr>
          <w:rFonts w:ascii="Times New Roman" w:hAnsi="Times New Roman"/>
          <w:sz w:val="24"/>
          <w:szCs w:val="24"/>
        </w:rPr>
        <w:t xml:space="preserve"> на рынке ценных бумаг.</w:t>
      </w:r>
    </w:p>
    <w:p w:rsidR="00D21F07" w:rsidRPr="00487169" w:rsidRDefault="00D21F07" w:rsidP="00D21F07">
      <w:pPr>
        <w:pStyle w:val="a"/>
        <w:numPr>
          <w:ilvl w:val="0"/>
          <w:numId w:val="0"/>
        </w:numPr>
        <w:ind w:left="360"/>
      </w:pPr>
    </w:p>
    <w:p w:rsidR="00D21F07" w:rsidRPr="00F6730C" w:rsidRDefault="00D21F07" w:rsidP="00D21F07">
      <w:pPr>
        <w:jc w:val="center"/>
        <w:outlineLvl w:val="2"/>
        <w:rPr>
          <w:b/>
          <w:bCs/>
          <w:sz w:val="24"/>
          <w:szCs w:val="24"/>
        </w:rPr>
      </w:pPr>
      <w:r w:rsidRPr="00F6730C">
        <w:rPr>
          <w:b/>
          <w:bCs/>
          <w:sz w:val="24"/>
          <w:szCs w:val="24"/>
        </w:rPr>
        <w:t>4. УСЛОВИЯ ОБРАБОТКИ ПЕРСОНАЛЬНЫХ ДАННЫХ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4.1. Обработка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осуществляется в соответствии с целями, заранее определенными и заявленными при сборе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а также полномочиями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, определенными действующим законодательством Российской Федерации и договорными отношениями с клиентами и контрагентами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>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4.2. Получение и обработка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в случаях, предусмотренных ФЗ-152, осуществляется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с письменного согласия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. 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4.3. Согласие на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может быть дано субъектом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или его представителем в любой позволяющей подтвердить факт его получения форме, если иное не установлено ФЗ-152.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4.4. 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вправе обрабатывать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без согласия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(или при отзыве субъектом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согласия на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) при наличии оснований, указанных в пунктах 2 - 11 части 1 статьи 6, части 2 статьи 10 и части 2 статьи 11 ФЗ-152.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4.5.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не осуществляется.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4.6. Обработка сведений о состоянии здоровья осуществляется в соответствии с Трудовым кодексом РФ, Федеральным законом «Об обязательном медицинском страховании в РФ», а также п.2.3 ч.2 ст.10 ФЗ-152;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4.7. Сведения, которые характеризуют физиологические особенности человека и на основе которых можно установить его личность (биометрические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), могут обрабатываться только при наличии согласия в письменной форме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4.8. 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субъекта могут быть получены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от лица, не являющегося субъектом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при условии предоставления в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подтверждения наличия оснований, указанных в п.п. 2 - 11 части 1 статьи 6, части 2 статьи 10 и части 2 статьи 11 ФЗ-152 или иных оснований, предусмотренных федеральным законодательством.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lastRenderedPageBreak/>
        <w:t xml:space="preserve">4.9. Право доступа к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субъектов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на бумажных и электронных носителях имеют работники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 в соответствии с их должностными обязанностями.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4.10. Передача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субъектов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третьим лицам осуществляется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в соответствии с требованиями действующего законодательства.</w:t>
      </w:r>
    </w:p>
    <w:p w:rsidR="00D21F07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4.11. 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вправе поручить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третьей стороне с согласия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договора, (далее – поручение). Третья сторона, осуществляющая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по поручению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, обязана соблюдать принципы и правила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предусмотренные ФЗ-152, обеспечивая конфиденциальность и безопасность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при их обработке.</w:t>
      </w:r>
    </w:p>
    <w:p w:rsidR="00D21F07" w:rsidRPr="00F6730C" w:rsidRDefault="00D21F07" w:rsidP="00D21F07">
      <w:pPr>
        <w:jc w:val="center"/>
        <w:outlineLvl w:val="2"/>
        <w:rPr>
          <w:b/>
          <w:bCs/>
          <w:sz w:val="24"/>
          <w:szCs w:val="24"/>
        </w:rPr>
      </w:pPr>
      <w:r w:rsidRPr="00F6730C">
        <w:rPr>
          <w:b/>
          <w:bCs/>
          <w:sz w:val="24"/>
          <w:szCs w:val="24"/>
        </w:rPr>
        <w:t>5. ПРАВА СУБЪЕКТОВ ПЕРСОНАЛЬНЫХ ДАННЫХ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5.1. Субъект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вправе требовать от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 уточнения его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5.2. Субъект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имеет право на получение информации, касающейся обработки его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, в том числе содержащей: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подтверждение факта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>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правовые основания и цели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цели и применяемые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способы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наименование и место нахождения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, сведения о лицах (за исключением работников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), которые имеют доступ к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или которым могут быть раскрыты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на основании договора с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 xml:space="preserve"> или на основании ФЗ-152;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обрабатываемые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относящиеся к соответствующему субъекту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, источник их получения, если иной порядок представления таких данных не предусмотрен ФЗ-152;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сроки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, в том числе сроки их хранения;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порядок осуществления субъектом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прав, предусмотренных ФЗ-152;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информацию о ранее осуществленной или о предполагаемой трансграничной передаче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по поручению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>, если обработка поручена или будет поручена такому лицу;</w:t>
      </w:r>
    </w:p>
    <w:p w:rsidR="00D21F07" w:rsidRPr="00F6730C" w:rsidRDefault="00D21F07" w:rsidP="00D21F0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иные сведения, предусмотренные ФЗ-152 или другими федеральными законами.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5.3. Обработка персональных данных в целях продвижения услуг на рынке путем осуществления прямых контактов с потенциальным клиентом с помощью сре</w:t>
      </w:r>
      <w:proofErr w:type="gramStart"/>
      <w:r w:rsidRPr="00F6730C">
        <w:rPr>
          <w:sz w:val="24"/>
          <w:szCs w:val="24"/>
        </w:rPr>
        <w:t>дств св</w:t>
      </w:r>
      <w:proofErr w:type="gramEnd"/>
      <w:r w:rsidRPr="00F6730C">
        <w:rPr>
          <w:sz w:val="24"/>
          <w:szCs w:val="24"/>
        </w:rPr>
        <w:t xml:space="preserve">язи допускается только при условии предварительного согласия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. Указанная обработка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признается осуществляемой без предварительного согласия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если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не докажет, что такое согласие было получено.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5.4.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F6730C">
        <w:rPr>
          <w:sz w:val="24"/>
          <w:szCs w:val="24"/>
        </w:rPr>
        <w:t xml:space="preserve"> немедленно прекратить по требованию субъекта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обработку его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.</w:t>
      </w:r>
    </w:p>
    <w:p w:rsidR="00D21F07" w:rsidRPr="00F6730C" w:rsidRDefault="00D21F07" w:rsidP="00D21F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5.5. Если субъект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считает, что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осуществляет обработку его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с нарушением требований ФЗ-152 или иным образом нарушает его права и свободы, субъект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вправе обжаловать действия или бездействие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 в уполномоченный орган по защите прав субъектов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или в судебном порядке.</w:t>
      </w:r>
    </w:p>
    <w:p w:rsidR="00D21F07" w:rsidRPr="00F6730C" w:rsidRDefault="00D21F07" w:rsidP="00D21F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1F07" w:rsidRPr="00F6730C" w:rsidRDefault="00D21F07" w:rsidP="00D21F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730C">
        <w:rPr>
          <w:sz w:val="24"/>
          <w:szCs w:val="24"/>
        </w:rPr>
        <w:lastRenderedPageBreak/>
        <w:t xml:space="preserve">5.6. Субъект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21F07" w:rsidRDefault="00D21F07" w:rsidP="00D21F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F07" w:rsidRDefault="00D21F07" w:rsidP="00D21F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F07" w:rsidRPr="00F6730C" w:rsidRDefault="00D21F07" w:rsidP="00D21F07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F6730C">
        <w:rPr>
          <w:b/>
          <w:bCs/>
          <w:sz w:val="24"/>
          <w:szCs w:val="24"/>
        </w:rPr>
        <w:t>6. СВЕДЕНИЯ О РЕАЛИЗУЕМЫХ ТРЕБОВАНИЯХ К ЗАЩИТЕ ПЕРСОНАЛЬНЫХ ДАННЫХ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>6.1. 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при обработке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принимает необходимые правовые, организационные и технические меры или обеспечивает их принятие для защиты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6.2. Меры по обеспечению безопасности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при их обработке, применяемые </w:t>
      </w:r>
      <w:r w:rsidRPr="00CB486F">
        <w:rPr>
          <w:sz w:val="24"/>
          <w:szCs w:val="24"/>
        </w:rPr>
        <w:t>Общество</w:t>
      </w:r>
      <w:r>
        <w:rPr>
          <w:sz w:val="24"/>
          <w:szCs w:val="24"/>
        </w:rPr>
        <w:t>м</w:t>
      </w:r>
      <w:r w:rsidRPr="00F6730C">
        <w:rPr>
          <w:sz w:val="24"/>
          <w:szCs w:val="24"/>
        </w:rPr>
        <w:t>, планируются и реализуются в целях обеспечения соответствия требованиям, приведенным в статье 19 ФЗ-152.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6.3. В соответствии со статьей 18 ФЗ-152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самостоятельно определяет </w:t>
      </w:r>
      <w:proofErr w:type="gramStart"/>
      <w:r w:rsidRPr="00F6730C">
        <w:rPr>
          <w:sz w:val="24"/>
          <w:szCs w:val="24"/>
        </w:rPr>
        <w:t>состав</w:t>
      </w:r>
      <w:proofErr w:type="gramEnd"/>
      <w:r w:rsidRPr="00F6730C">
        <w:rPr>
          <w:sz w:val="24"/>
          <w:szCs w:val="24"/>
        </w:rPr>
        <w:t xml:space="preserve"> и перечень мер, необходимых и достаточных для обеспечения выполнения требований законодательства.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в частности приняла следующие меры:</w:t>
      </w:r>
    </w:p>
    <w:p w:rsidR="00D21F07" w:rsidRPr="00F6730C" w:rsidRDefault="00D21F07" w:rsidP="00D21F07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назначен ответственный за организацию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proofErr w:type="gramStart"/>
      <w:r w:rsidRPr="00F6730C">
        <w:rPr>
          <w:sz w:val="24"/>
          <w:szCs w:val="24"/>
        </w:rPr>
        <w:t xml:space="preserve"> ;</w:t>
      </w:r>
      <w:proofErr w:type="gramEnd"/>
    </w:p>
    <w:p w:rsidR="00D21F07" w:rsidRPr="00F6730C" w:rsidRDefault="00D21F07" w:rsidP="00D21F07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разработаны и внедрены локальные акты по вопросам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и устранение последствий таких нарушений;</w:t>
      </w:r>
    </w:p>
    <w:p w:rsidR="00D21F07" w:rsidRPr="00F6730C" w:rsidRDefault="00D21F07" w:rsidP="00D21F07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в соответствии со статьей 19 ФЗ-152;</w:t>
      </w:r>
    </w:p>
    <w:p w:rsidR="00D21F07" w:rsidRPr="00F6730C" w:rsidRDefault="00D21F07" w:rsidP="00D21F07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осуществляется внутренний контроль соответствия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политике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 в отношении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локальным актам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>;</w:t>
      </w:r>
    </w:p>
    <w:p w:rsidR="00D21F07" w:rsidRPr="00F6730C" w:rsidRDefault="00D21F07" w:rsidP="00D21F07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, непосредственно осуществляющие обработку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ознакомлены с положениями законодательства Российской Федерации о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в том числе требованиями к защите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документами, определяющими политику </w:t>
      </w:r>
      <w:r>
        <w:rPr>
          <w:sz w:val="24"/>
          <w:szCs w:val="24"/>
        </w:rPr>
        <w:t>Общества</w:t>
      </w:r>
      <w:r w:rsidRPr="00F6730C">
        <w:rPr>
          <w:sz w:val="24"/>
          <w:szCs w:val="24"/>
        </w:rPr>
        <w:t xml:space="preserve"> в отношении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 xml:space="preserve">, локальными актами по вопросам обработки </w:t>
      </w:r>
      <w:proofErr w:type="spellStart"/>
      <w:r w:rsidRPr="00F6730C">
        <w:rPr>
          <w:sz w:val="24"/>
          <w:szCs w:val="24"/>
        </w:rPr>
        <w:t>ПДн</w:t>
      </w:r>
      <w:proofErr w:type="spellEnd"/>
      <w:r w:rsidRPr="00F6730C">
        <w:rPr>
          <w:sz w:val="24"/>
          <w:szCs w:val="24"/>
        </w:rPr>
        <w:t>.</w:t>
      </w:r>
    </w:p>
    <w:p w:rsidR="00D21F07" w:rsidRPr="00F6730C" w:rsidRDefault="00D21F07" w:rsidP="00D21F07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C">
        <w:rPr>
          <w:sz w:val="24"/>
          <w:szCs w:val="24"/>
        </w:rPr>
        <w:t xml:space="preserve">6.4. В дополнение к требованиям ФЗ-152, в </w:t>
      </w:r>
      <w:r>
        <w:rPr>
          <w:sz w:val="24"/>
          <w:szCs w:val="24"/>
        </w:rPr>
        <w:t>Обществе</w:t>
      </w:r>
      <w:r w:rsidRPr="00F6730C">
        <w:rPr>
          <w:sz w:val="24"/>
          <w:szCs w:val="24"/>
        </w:rPr>
        <w:t xml:space="preserve"> осуществляется комплекс мероприятий, направленных на защиту информации о своих клиентах, сотрудниках и контрагентах. </w:t>
      </w:r>
      <w:r w:rsidRPr="00CB486F">
        <w:rPr>
          <w:sz w:val="24"/>
          <w:szCs w:val="24"/>
        </w:rPr>
        <w:t>Общество</w:t>
      </w:r>
      <w:r w:rsidRPr="00F6730C">
        <w:rPr>
          <w:sz w:val="24"/>
          <w:szCs w:val="24"/>
        </w:rPr>
        <w:t xml:space="preserve"> руководствуется требованиями и рекомендациями действующего законодательства Российской Федерации, </w:t>
      </w:r>
      <w:r>
        <w:rPr>
          <w:sz w:val="24"/>
          <w:szCs w:val="24"/>
        </w:rPr>
        <w:t xml:space="preserve">Банка России, </w:t>
      </w:r>
      <w:proofErr w:type="spellStart"/>
      <w:r>
        <w:rPr>
          <w:sz w:val="24"/>
          <w:szCs w:val="24"/>
        </w:rPr>
        <w:t>Роскомнадзора</w:t>
      </w:r>
      <w:proofErr w:type="spellEnd"/>
      <w:r w:rsidRPr="00F6730C">
        <w:rPr>
          <w:sz w:val="24"/>
          <w:szCs w:val="24"/>
        </w:rPr>
        <w:t>, других регулирующих организаций, а также лучшими российскими и международными практиками.</w:t>
      </w:r>
    </w:p>
    <w:p w:rsidR="00C6347F" w:rsidRPr="00882F3A" w:rsidRDefault="00C6347F" w:rsidP="00C6347F">
      <w:pPr>
        <w:pStyle w:val="11"/>
        <w:tabs>
          <w:tab w:val="left" w:pos="993"/>
          <w:tab w:val="left" w:pos="1134"/>
        </w:tabs>
        <w:spacing w:before="120"/>
        <w:ind w:left="567"/>
        <w:contextualSpacing w:val="0"/>
        <w:jc w:val="both"/>
      </w:pPr>
    </w:p>
    <w:sectPr w:rsidR="00C6347F" w:rsidRPr="00882F3A" w:rsidSect="000A2A58">
      <w:footerReference w:type="default" r:id="rId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A6" w:rsidRDefault="007C44A6" w:rsidP="000E072D">
      <w:r>
        <w:separator/>
      </w:r>
    </w:p>
  </w:endnote>
  <w:endnote w:type="continuationSeparator" w:id="0">
    <w:p w:rsidR="007C44A6" w:rsidRDefault="007C44A6" w:rsidP="000E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450918"/>
      <w:docPartObj>
        <w:docPartGallery w:val="Page Numbers (Bottom of Page)"/>
        <w:docPartUnique/>
      </w:docPartObj>
    </w:sdtPr>
    <w:sdtContent>
      <w:p w:rsidR="009E159D" w:rsidRDefault="00E41588">
        <w:pPr>
          <w:pStyle w:val="ab"/>
          <w:jc w:val="right"/>
        </w:pPr>
        <w:r>
          <w:fldChar w:fldCharType="begin"/>
        </w:r>
        <w:r w:rsidR="009E159D">
          <w:instrText>PAGE   \* MERGEFORMAT</w:instrText>
        </w:r>
        <w:r>
          <w:fldChar w:fldCharType="separate"/>
        </w:r>
        <w:r w:rsidR="00971BFD">
          <w:rPr>
            <w:noProof/>
          </w:rPr>
          <w:t>5</w:t>
        </w:r>
        <w:r>
          <w:fldChar w:fldCharType="end"/>
        </w:r>
      </w:p>
    </w:sdtContent>
  </w:sdt>
  <w:p w:rsidR="000E072D" w:rsidRDefault="000E0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A6" w:rsidRDefault="007C44A6" w:rsidP="000E072D">
      <w:r>
        <w:separator/>
      </w:r>
    </w:p>
  </w:footnote>
  <w:footnote w:type="continuationSeparator" w:id="0">
    <w:p w:rsidR="007C44A6" w:rsidRDefault="007C44A6" w:rsidP="000E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E2"/>
    <w:multiLevelType w:val="hybridMultilevel"/>
    <w:tmpl w:val="2DF69EF2"/>
    <w:lvl w:ilvl="0" w:tplc="46DE1C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D7B"/>
    <w:multiLevelType w:val="multilevel"/>
    <w:tmpl w:val="99D29A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146725"/>
    <w:multiLevelType w:val="multilevel"/>
    <w:tmpl w:val="88742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BA7E50"/>
    <w:multiLevelType w:val="multilevel"/>
    <w:tmpl w:val="11A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2A4D"/>
    <w:multiLevelType w:val="multilevel"/>
    <w:tmpl w:val="815AB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581591"/>
    <w:multiLevelType w:val="hybridMultilevel"/>
    <w:tmpl w:val="0C94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16C9C"/>
    <w:multiLevelType w:val="hybridMultilevel"/>
    <w:tmpl w:val="2BEECC08"/>
    <w:lvl w:ilvl="0" w:tplc="6C50D2E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3430B3"/>
    <w:multiLevelType w:val="multilevel"/>
    <w:tmpl w:val="18F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C2346"/>
    <w:multiLevelType w:val="multilevel"/>
    <w:tmpl w:val="6AF0002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>
    <w:nsid w:val="69413290"/>
    <w:multiLevelType w:val="multilevel"/>
    <w:tmpl w:val="EDE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36E9"/>
    <w:multiLevelType w:val="hybridMultilevel"/>
    <w:tmpl w:val="8DF0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3728B7"/>
    <w:multiLevelType w:val="hybridMultilevel"/>
    <w:tmpl w:val="80AE08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A2E0E87"/>
    <w:multiLevelType w:val="multilevel"/>
    <w:tmpl w:val="DC5A01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E5A28FD"/>
    <w:multiLevelType w:val="hybridMultilevel"/>
    <w:tmpl w:val="477A80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3A"/>
    <w:rsid w:val="00014570"/>
    <w:rsid w:val="000A2A58"/>
    <w:rsid w:val="000E072D"/>
    <w:rsid w:val="00133B06"/>
    <w:rsid w:val="0015512C"/>
    <w:rsid w:val="0016134F"/>
    <w:rsid w:val="00196B65"/>
    <w:rsid w:val="001C1A2F"/>
    <w:rsid w:val="001D1EC0"/>
    <w:rsid w:val="00200007"/>
    <w:rsid w:val="00252390"/>
    <w:rsid w:val="002A58E8"/>
    <w:rsid w:val="002B426B"/>
    <w:rsid w:val="002E0C0D"/>
    <w:rsid w:val="00350D2F"/>
    <w:rsid w:val="003D2858"/>
    <w:rsid w:val="00450BD2"/>
    <w:rsid w:val="004978C8"/>
    <w:rsid w:val="004C0D69"/>
    <w:rsid w:val="004D3979"/>
    <w:rsid w:val="00502778"/>
    <w:rsid w:val="00514FEA"/>
    <w:rsid w:val="005560FC"/>
    <w:rsid w:val="005A6F8A"/>
    <w:rsid w:val="005B217D"/>
    <w:rsid w:val="006D72D6"/>
    <w:rsid w:val="00713A08"/>
    <w:rsid w:val="00743D31"/>
    <w:rsid w:val="00754095"/>
    <w:rsid w:val="00756871"/>
    <w:rsid w:val="00775A5D"/>
    <w:rsid w:val="007B5370"/>
    <w:rsid w:val="007C44A6"/>
    <w:rsid w:val="007F271D"/>
    <w:rsid w:val="0082346C"/>
    <w:rsid w:val="00842629"/>
    <w:rsid w:val="008443C4"/>
    <w:rsid w:val="0084687F"/>
    <w:rsid w:val="008723EE"/>
    <w:rsid w:val="00882F3A"/>
    <w:rsid w:val="008C68ED"/>
    <w:rsid w:val="008E160E"/>
    <w:rsid w:val="008E34A6"/>
    <w:rsid w:val="0097164E"/>
    <w:rsid w:val="00971BFD"/>
    <w:rsid w:val="00973A11"/>
    <w:rsid w:val="009E159D"/>
    <w:rsid w:val="00A27B81"/>
    <w:rsid w:val="00A87E73"/>
    <w:rsid w:val="00A97167"/>
    <w:rsid w:val="00AE1933"/>
    <w:rsid w:val="00B57A3C"/>
    <w:rsid w:val="00B66A05"/>
    <w:rsid w:val="00C16346"/>
    <w:rsid w:val="00C6347F"/>
    <w:rsid w:val="00C70998"/>
    <w:rsid w:val="00CA4684"/>
    <w:rsid w:val="00CB3FF1"/>
    <w:rsid w:val="00CC416B"/>
    <w:rsid w:val="00CC7553"/>
    <w:rsid w:val="00CD4E72"/>
    <w:rsid w:val="00CD5517"/>
    <w:rsid w:val="00D21F07"/>
    <w:rsid w:val="00D35520"/>
    <w:rsid w:val="00D56B01"/>
    <w:rsid w:val="00DB1F8D"/>
    <w:rsid w:val="00DF1EF7"/>
    <w:rsid w:val="00E16B0D"/>
    <w:rsid w:val="00E41588"/>
    <w:rsid w:val="00E601FB"/>
    <w:rsid w:val="00E7051B"/>
    <w:rsid w:val="00EA5F68"/>
    <w:rsid w:val="00F4777D"/>
    <w:rsid w:val="00F66293"/>
    <w:rsid w:val="00F70B4F"/>
    <w:rsid w:val="00F9162E"/>
    <w:rsid w:val="00F92951"/>
    <w:rsid w:val="00FD6E19"/>
    <w:rsid w:val="00FF310D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5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qFormat/>
    <w:rsid w:val="00882F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82F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0"/>
    <w:link w:val="a5"/>
    <w:rsid w:val="00882F3A"/>
    <w:pPr>
      <w:spacing w:after="120"/>
    </w:pPr>
    <w:rPr>
      <w:rFonts w:ascii="Arial" w:hAnsi="Arial"/>
      <w:sz w:val="24"/>
    </w:rPr>
  </w:style>
  <w:style w:type="character" w:customStyle="1" w:styleId="a5">
    <w:name w:val="Основной текст Знак"/>
    <w:basedOn w:val="a1"/>
    <w:link w:val="a4"/>
    <w:rsid w:val="00882F3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rsid w:val="00882F3A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0"/>
    <w:uiPriority w:val="34"/>
    <w:qFormat/>
    <w:rsid w:val="00B57A3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5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Plain Text"/>
    <w:basedOn w:val="a0"/>
    <w:link w:val="a8"/>
    <w:unhideWhenUsed/>
    <w:rsid w:val="00C6347F"/>
    <w:rPr>
      <w:rFonts w:ascii="Courier New" w:hAnsi="Courier New" w:cs="Courier New"/>
    </w:rPr>
  </w:style>
  <w:style w:type="character" w:customStyle="1" w:styleId="a8">
    <w:name w:val="Текст Знак"/>
    <w:basedOn w:val="a1"/>
    <w:link w:val="a7"/>
    <w:rsid w:val="00C63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E07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0E07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E072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E072D"/>
  </w:style>
  <w:style w:type="character" w:customStyle="1" w:styleId="af">
    <w:name w:val="Текст примечания Знак"/>
    <w:basedOn w:val="a1"/>
    <w:link w:val="ae"/>
    <w:uiPriority w:val="99"/>
    <w:semiHidden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07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07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0E07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0E072D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1"/>
    <w:uiPriority w:val="99"/>
    <w:semiHidden/>
    <w:unhideWhenUsed/>
    <w:rsid w:val="000A2A58"/>
  </w:style>
  <w:style w:type="character" w:customStyle="1" w:styleId="12">
    <w:name w:val="Пункт договора Знак1"/>
    <w:link w:val="a"/>
    <w:locked/>
    <w:rsid w:val="00D21F07"/>
    <w:rPr>
      <w:rFonts w:ascii="Arial" w:hAnsi="Arial"/>
    </w:rPr>
  </w:style>
  <w:style w:type="paragraph" w:customStyle="1" w:styleId="a">
    <w:name w:val="Пункт договора"/>
    <w:basedOn w:val="a0"/>
    <w:link w:val="12"/>
    <w:rsid w:val="00D21F07"/>
    <w:pPr>
      <w:widowControl w:val="0"/>
      <w:numPr>
        <w:ilvl w:val="1"/>
        <w:numId w:val="13"/>
      </w:numPr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2017-03-01T13:40:00Z</dcterms:created>
  <dcterms:modified xsi:type="dcterms:W3CDTF">2017-03-01T16:28:00Z</dcterms:modified>
</cp:coreProperties>
</file>